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8B4F7" w14:textId="4996C6EA" w:rsidR="00E74C03" w:rsidRDefault="00E74C03" w:rsidP="00E74C03">
      <w:pPr>
        <w:pStyle w:val="Titel"/>
        <w:ind w:left="0"/>
        <w:rPr>
          <w:lang w:val="en-US"/>
        </w:rPr>
      </w:pPr>
      <w:r w:rsidRPr="00E74C03">
        <w:rPr>
          <w:lang w:val="en-US"/>
        </w:rPr>
        <w:t xml:space="preserve">Overview of changes to </w:t>
      </w:r>
      <w:r w:rsidRPr="000C30A7">
        <w:rPr>
          <w:lang w:val="en-US"/>
        </w:rPr>
        <w:t xml:space="preserve">Verification </w:t>
      </w:r>
      <w:r>
        <w:rPr>
          <w:lang w:val="en-US"/>
        </w:rPr>
        <w:t>protocol</w:t>
      </w:r>
      <w:r w:rsidRPr="000C30A7">
        <w:rPr>
          <w:lang w:val="en-US"/>
        </w:rPr>
        <w:t xml:space="preserve"> for MRPI</w:t>
      </w:r>
      <w:r>
        <w:rPr>
          <w:lang w:val="en-US"/>
        </w:rPr>
        <w:t xml:space="preserve"> LCA project report &amp; E</w:t>
      </w:r>
      <w:r w:rsidRPr="000C30A7">
        <w:rPr>
          <w:lang w:val="en-US"/>
        </w:rPr>
        <w:t>PD</w:t>
      </w:r>
      <w:r>
        <w:rPr>
          <w:lang w:val="en-US"/>
        </w:rPr>
        <w:t xml:space="preserve"> – </w:t>
      </w:r>
      <w:r w:rsidR="00505EFA">
        <w:rPr>
          <w:lang w:val="en-US"/>
        </w:rPr>
        <w:t xml:space="preserve">v 5.3 </w:t>
      </w:r>
      <w:r>
        <w:rPr>
          <w:lang w:val="en-US"/>
        </w:rPr>
        <w:t>April 2026</w:t>
      </w:r>
      <w:r w:rsidR="006C0A53">
        <w:rPr>
          <w:lang w:val="en-US"/>
        </w:rPr>
        <w:t xml:space="preserve"> </w:t>
      </w:r>
    </w:p>
    <w:p w14:paraId="32C179EE" w14:textId="6B8317FB" w:rsidR="00901FF9" w:rsidRPr="00E74C03" w:rsidRDefault="00901FF9" w:rsidP="008A7A34">
      <w:pPr>
        <w:rPr>
          <w:lang w:val="en-US"/>
        </w:rPr>
      </w:pPr>
    </w:p>
    <w:p w14:paraId="0740A75C" w14:textId="77777777" w:rsidR="00E74C03" w:rsidRPr="00E74C03" w:rsidRDefault="00E74C03" w:rsidP="008A7A34">
      <w:pPr>
        <w:rPr>
          <w:lang w:val="en-US"/>
        </w:rPr>
      </w:pPr>
    </w:p>
    <w:p w14:paraId="2456689A" w14:textId="0E2CD691" w:rsidR="0043524F" w:rsidRDefault="0043524F" w:rsidP="00E74C03">
      <w:pPr>
        <w:pStyle w:val="Lijstalinea"/>
        <w:numPr>
          <w:ilvl w:val="0"/>
          <w:numId w:val="24"/>
        </w:numPr>
        <w:spacing w:line="240" w:lineRule="auto"/>
        <w:contextualSpacing w:val="0"/>
        <w:rPr>
          <w:rFonts w:cs="Segoe UI"/>
          <w:lang w:val="en-US"/>
        </w:rPr>
      </w:pPr>
      <w:r>
        <w:rPr>
          <w:rFonts w:cs="Segoe UI"/>
          <w:lang w:val="en-US"/>
        </w:rPr>
        <w:t xml:space="preserve">The documents </w:t>
      </w:r>
      <w:r w:rsidRPr="00BA6A98">
        <w:rPr>
          <w:rFonts w:cs="Segoe UI"/>
          <w:i/>
          <w:iCs/>
          <w:lang w:val="en-US"/>
        </w:rPr>
        <w:t>MRPI®-EPD verification explanation</w:t>
      </w:r>
      <w:r>
        <w:rPr>
          <w:rFonts w:cs="Segoe UI"/>
          <w:lang w:val="en-US"/>
        </w:rPr>
        <w:t xml:space="preserve"> and </w:t>
      </w:r>
      <w:r w:rsidRPr="00BA6A98">
        <w:rPr>
          <w:rFonts w:cs="Segoe UI"/>
          <w:i/>
          <w:iCs/>
          <w:lang w:val="en-US"/>
        </w:rPr>
        <w:t>MRPI®-EPD verification protocol for signature</w:t>
      </w:r>
      <w:r>
        <w:rPr>
          <w:rFonts w:cs="Segoe UI"/>
          <w:lang w:val="en-US"/>
        </w:rPr>
        <w:t xml:space="preserve">, with template of verifiers statement, both checklists and dialogue document template, </w:t>
      </w:r>
      <w:r w:rsidR="00BA6A98">
        <w:rPr>
          <w:rFonts w:cs="Segoe UI"/>
          <w:lang w:val="en-US"/>
        </w:rPr>
        <w:t xml:space="preserve">are </w:t>
      </w:r>
      <w:r>
        <w:rPr>
          <w:rFonts w:cs="Segoe UI"/>
          <w:lang w:val="en-US"/>
        </w:rPr>
        <w:t xml:space="preserve">now combined into 1 document (pdf). The checklists are also available in Excel, the templates in Word. </w:t>
      </w:r>
    </w:p>
    <w:p w14:paraId="56C8E6BC" w14:textId="2678411C" w:rsidR="0016365C" w:rsidRPr="003D1A1D" w:rsidRDefault="0016365C" w:rsidP="00E74C03">
      <w:pPr>
        <w:pStyle w:val="Lijstalinea"/>
        <w:numPr>
          <w:ilvl w:val="0"/>
          <w:numId w:val="24"/>
        </w:numPr>
        <w:spacing w:line="240" w:lineRule="auto"/>
        <w:contextualSpacing w:val="0"/>
        <w:rPr>
          <w:rFonts w:cs="Segoe UI"/>
          <w:lang w:val="en-US"/>
        </w:rPr>
      </w:pPr>
      <w:r>
        <w:rPr>
          <w:lang w:val="en-US"/>
        </w:rPr>
        <w:t xml:space="preserve">The option to publish an EPD only in accordance with the NMD PCR </w:t>
      </w:r>
      <w:r w:rsidRPr="00101DBD">
        <w:rPr>
          <w:lang w:val="en-US"/>
        </w:rPr>
        <w:t>(</w:t>
      </w:r>
      <w:r w:rsidRPr="00E54297">
        <w:rPr>
          <w:color w:val="auto"/>
          <w:u w:val="single"/>
          <w:lang w:val="en-US"/>
        </w:rPr>
        <w:t>MRPI NMD EPD</w:t>
      </w:r>
      <w:r w:rsidRPr="00101DBD">
        <w:rPr>
          <w:color w:val="auto"/>
          <w:lang w:val="en-US"/>
        </w:rPr>
        <w:t>)</w:t>
      </w:r>
      <w:r>
        <w:rPr>
          <w:color w:val="auto"/>
          <w:lang w:val="en-US"/>
        </w:rPr>
        <w:t xml:space="preserve"> is removed, all EPDs need to comply with the ECO Platform guidelines (</w:t>
      </w:r>
      <w:r w:rsidR="008C1BBA">
        <w:rPr>
          <w:color w:val="auto"/>
          <w:lang w:val="en-US"/>
        </w:rPr>
        <w:t xml:space="preserve">possibly in combination with </w:t>
      </w:r>
      <w:r>
        <w:rPr>
          <w:color w:val="auto"/>
          <w:lang w:val="en-US"/>
        </w:rPr>
        <w:t>other PCR/PSR)</w:t>
      </w:r>
      <w:r w:rsidR="008C1BBA">
        <w:rPr>
          <w:color w:val="auto"/>
          <w:lang w:val="en-US"/>
        </w:rPr>
        <w:t>. In principle, a</w:t>
      </w:r>
      <w:r w:rsidR="008C1BBA">
        <w:rPr>
          <w:lang w:val="en-US"/>
        </w:rPr>
        <w:t>ll EPDs need to be published on ECO Platform, but there is still discussion whether companies that wish to keep their EPD confidential for commercial reasons can do so.</w:t>
      </w:r>
      <w:r w:rsidR="002059A6">
        <w:rPr>
          <w:lang w:val="en-US"/>
        </w:rPr>
        <w:t xml:space="preserve"> The possibility to always create a cradle-to-gate MRPI certificate for the NMD (“basisprofiel”) is therefore removed for most products. Only the regular exemptions from EN15804 apply.</w:t>
      </w:r>
    </w:p>
    <w:p w14:paraId="604D1013" w14:textId="27EE9DD0" w:rsidR="003D1A1D" w:rsidRDefault="003D1A1D" w:rsidP="00E74C03">
      <w:pPr>
        <w:pStyle w:val="Lijstalinea"/>
        <w:numPr>
          <w:ilvl w:val="0"/>
          <w:numId w:val="24"/>
        </w:numPr>
        <w:spacing w:line="240" w:lineRule="auto"/>
        <w:contextualSpacing w:val="0"/>
        <w:rPr>
          <w:rFonts w:cs="Segoe UI"/>
          <w:lang w:val="en-US"/>
        </w:rPr>
      </w:pPr>
      <w:r>
        <w:rPr>
          <w:lang w:val="en-US"/>
        </w:rPr>
        <w:t>The online input platform for MRPI certificates is now included as alternative for the MRPI Spreadsheet.</w:t>
      </w:r>
    </w:p>
    <w:p w14:paraId="6BDF9E49" w14:textId="74EECAE8" w:rsidR="00E74C03" w:rsidRDefault="000B4233" w:rsidP="00E74C03">
      <w:pPr>
        <w:pStyle w:val="Lijstalinea"/>
        <w:numPr>
          <w:ilvl w:val="0"/>
          <w:numId w:val="24"/>
        </w:numPr>
        <w:spacing w:line="240" w:lineRule="auto"/>
        <w:contextualSpacing w:val="0"/>
        <w:rPr>
          <w:rFonts w:cs="Segoe UI"/>
          <w:lang w:val="en-US"/>
        </w:rPr>
      </w:pPr>
      <w:r>
        <w:rPr>
          <w:rFonts w:cs="Segoe UI"/>
          <w:lang w:val="en-US"/>
        </w:rPr>
        <w:t xml:space="preserve">Only relevant for EPD’s that follow NMD PCR: </w:t>
      </w:r>
      <w:r w:rsidR="00E74C03">
        <w:rPr>
          <w:rFonts w:cs="Segoe UI"/>
          <w:lang w:val="en-US"/>
        </w:rPr>
        <w:t>Alignment with NMD review protocol 2.0;</w:t>
      </w:r>
      <w:r>
        <w:rPr>
          <w:rFonts w:cs="Segoe UI"/>
          <w:lang w:val="en-US"/>
        </w:rPr>
        <w:t xml:space="preserve"> (see also: </w:t>
      </w:r>
      <w:hyperlink r:id="rId7" w:history="1">
        <w:r w:rsidRPr="00B47C75">
          <w:rPr>
            <w:rStyle w:val="Hyperlink"/>
            <w:rFonts w:cs="Segoe UI"/>
            <w:lang w:val="en-US"/>
          </w:rPr>
          <w:t>https://milieudatabase.nl/nl/actueel/nieuws/nieuwe-versie-toetsingsprotocol-20-van-kracht-per-1-juli-2025/</w:t>
        </w:r>
      </w:hyperlink>
      <w:r>
        <w:rPr>
          <w:rFonts w:cs="Segoe UI"/>
          <w:lang w:val="en-US"/>
        </w:rPr>
        <w:t>)</w:t>
      </w:r>
      <w:r w:rsidR="008C1BBA">
        <w:rPr>
          <w:rFonts w:cs="Segoe UI"/>
          <w:lang w:val="en-US"/>
        </w:rPr>
        <w:t>.</w:t>
      </w:r>
    </w:p>
    <w:p w14:paraId="2932708A" w14:textId="5F36A293" w:rsidR="00E74C03" w:rsidRDefault="00E74C03" w:rsidP="00E74C03">
      <w:pPr>
        <w:pStyle w:val="Lijstalinea"/>
        <w:numPr>
          <w:ilvl w:val="0"/>
          <w:numId w:val="24"/>
        </w:numPr>
        <w:spacing w:line="240" w:lineRule="auto"/>
        <w:contextualSpacing w:val="0"/>
        <w:rPr>
          <w:rFonts w:cs="Segoe UI"/>
          <w:lang w:val="en-US"/>
        </w:rPr>
      </w:pPr>
      <w:r>
        <w:rPr>
          <w:rFonts w:cs="Segoe UI"/>
          <w:lang w:val="en-US"/>
        </w:rPr>
        <w:t xml:space="preserve">With the A1 </w:t>
      </w:r>
      <w:r w:rsidRPr="001C6771">
        <w:rPr>
          <w:rFonts w:cs="Segoe UI"/>
          <w:lang w:val="en-US"/>
        </w:rPr>
        <w:t>environmental impact assessment indicators</w:t>
      </w:r>
      <w:r>
        <w:rPr>
          <w:rFonts w:cs="Segoe UI"/>
          <w:lang w:val="en-US"/>
        </w:rPr>
        <w:t xml:space="preserve"> being phased out (1</w:t>
      </w:r>
      <w:r w:rsidRPr="007537F2">
        <w:rPr>
          <w:rFonts w:cs="Segoe UI"/>
          <w:vertAlign w:val="superscript"/>
          <w:lang w:val="en-US"/>
        </w:rPr>
        <w:t>st</w:t>
      </w:r>
      <w:r>
        <w:rPr>
          <w:rFonts w:cs="Segoe UI"/>
          <w:lang w:val="en-US"/>
        </w:rPr>
        <w:t xml:space="preserve"> of July 2026), it is now optional for </w:t>
      </w:r>
      <w:r w:rsidRPr="001C6771">
        <w:rPr>
          <w:rFonts w:cs="Segoe UI"/>
          <w:lang w:val="en-US"/>
        </w:rPr>
        <w:t xml:space="preserve">the MRPI EPD+ </w:t>
      </w:r>
      <w:r w:rsidR="003C16DE">
        <w:rPr>
          <w:rFonts w:cs="Segoe UI"/>
          <w:lang w:val="en-US"/>
        </w:rPr>
        <w:t>(</w:t>
      </w:r>
      <w:r w:rsidR="003C16DE" w:rsidRPr="003C16DE">
        <w:rPr>
          <w:rFonts w:cs="Segoe UI"/>
          <w:i/>
          <w:iCs/>
          <w:lang w:val="en-US"/>
        </w:rPr>
        <w:t>ECO Platform + NMD PCR</w:t>
      </w:r>
      <w:r w:rsidR="003C16DE">
        <w:rPr>
          <w:rFonts w:cs="Segoe UI"/>
          <w:lang w:val="en-US"/>
        </w:rPr>
        <w:t xml:space="preserve">) </w:t>
      </w:r>
      <w:r w:rsidRPr="001C6771">
        <w:rPr>
          <w:rFonts w:cs="Segoe UI"/>
          <w:lang w:val="en-US"/>
        </w:rPr>
        <w:t>and MRPI NMD EPD certificates</w:t>
      </w:r>
      <w:r>
        <w:rPr>
          <w:rFonts w:cs="Segoe UI"/>
          <w:lang w:val="en-US"/>
        </w:rPr>
        <w:t xml:space="preserve"> to </w:t>
      </w:r>
      <w:r w:rsidRPr="001C6771">
        <w:rPr>
          <w:rFonts w:cs="Segoe UI"/>
          <w:lang w:val="en-US"/>
        </w:rPr>
        <w:t>contain the A1 environmental impact assessment</w:t>
      </w:r>
      <w:r>
        <w:rPr>
          <w:rFonts w:cs="Segoe UI"/>
          <w:lang w:val="en-US"/>
        </w:rPr>
        <w:t>,</w:t>
      </w:r>
      <w:r w:rsidRPr="001C6771">
        <w:rPr>
          <w:rFonts w:cs="Segoe UI"/>
          <w:lang w:val="en-US"/>
        </w:rPr>
        <w:t xml:space="preserve"> indicators</w:t>
      </w:r>
      <w:r>
        <w:rPr>
          <w:rFonts w:cs="Segoe UI"/>
          <w:lang w:val="en-US"/>
        </w:rPr>
        <w:t xml:space="preserve"> including the </w:t>
      </w:r>
      <w:r w:rsidRPr="001C6771">
        <w:rPr>
          <w:rFonts w:cs="Segoe UI"/>
          <w:lang w:val="en-US"/>
        </w:rPr>
        <w:t>four additional toxicity indicators (HTP, FAETP, MAETP, TETP)</w:t>
      </w:r>
      <w:r>
        <w:rPr>
          <w:rFonts w:cs="Segoe UI"/>
          <w:lang w:val="en-US"/>
        </w:rPr>
        <w:t xml:space="preserve">. The A2 </w:t>
      </w:r>
      <w:r w:rsidRPr="001C6771">
        <w:rPr>
          <w:rFonts w:cs="Segoe UI"/>
          <w:lang w:val="en-US"/>
        </w:rPr>
        <w:t>environmental impact assessment</w:t>
      </w:r>
      <w:r w:rsidRPr="00356048">
        <w:rPr>
          <w:rFonts w:cs="Segoe UI"/>
          <w:lang w:val="en-US"/>
        </w:rPr>
        <w:t xml:space="preserve"> </w:t>
      </w:r>
      <w:r w:rsidRPr="001C6771">
        <w:rPr>
          <w:rFonts w:cs="Segoe UI"/>
          <w:lang w:val="en-US"/>
        </w:rPr>
        <w:t>indicators</w:t>
      </w:r>
      <w:r>
        <w:rPr>
          <w:rFonts w:cs="Segoe UI"/>
          <w:lang w:val="en-US"/>
        </w:rPr>
        <w:t xml:space="preserve"> are mandatory to include</w:t>
      </w:r>
      <w:r w:rsidR="003C16DE">
        <w:rPr>
          <w:rFonts w:cs="Segoe UI"/>
          <w:lang w:val="en-US"/>
        </w:rPr>
        <w:t xml:space="preserve"> in the </w:t>
      </w:r>
      <w:r w:rsidR="003C16DE" w:rsidRPr="001C6771">
        <w:rPr>
          <w:rFonts w:cs="Segoe UI"/>
          <w:lang w:val="en-US"/>
        </w:rPr>
        <w:t>MRPI EPD+ and MRPI NMD EPD certificates</w:t>
      </w:r>
      <w:r w:rsidR="008C1BBA">
        <w:rPr>
          <w:rFonts w:cs="Segoe UI"/>
          <w:lang w:val="en-US"/>
        </w:rPr>
        <w:t>.</w:t>
      </w:r>
    </w:p>
    <w:p w14:paraId="00484108" w14:textId="72EBDC1F" w:rsidR="009D0477" w:rsidRPr="009D0477" w:rsidRDefault="009D0477" w:rsidP="009D0477">
      <w:pPr>
        <w:pStyle w:val="Lijstalinea"/>
        <w:numPr>
          <w:ilvl w:val="0"/>
          <w:numId w:val="24"/>
        </w:numPr>
        <w:spacing w:line="240" w:lineRule="auto"/>
        <w:contextualSpacing w:val="0"/>
        <w:rPr>
          <w:rFonts w:cs="Segoe UI"/>
          <w:lang w:val="en-US"/>
        </w:rPr>
      </w:pPr>
      <w:r>
        <w:rPr>
          <w:rFonts w:cs="Segoe UI"/>
          <w:lang w:val="en-US"/>
        </w:rPr>
        <w:t xml:space="preserve">It is now made explicit that MRPI allows contractual instruments for energy modelling and the market-based approach needs to be used. The location-based approach can only be used for </w:t>
      </w:r>
      <w:r w:rsidRPr="009D0477">
        <w:rPr>
          <w:rFonts w:cs="Segoe UI"/>
          <w:lang w:val="en-US"/>
        </w:rPr>
        <w:t>an additional, informative set of result</w:t>
      </w:r>
      <w:r w:rsidR="003E0C09">
        <w:rPr>
          <w:rFonts w:cs="Segoe UI"/>
          <w:lang w:val="en-US"/>
        </w:rPr>
        <w:t>s</w:t>
      </w:r>
      <w:r w:rsidRPr="009D0477">
        <w:rPr>
          <w:rFonts w:cs="Segoe UI"/>
          <w:lang w:val="en-US"/>
        </w:rPr>
        <w:t xml:space="preserve"> (in an annex to the EPD). </w:t>
      </w:r>
    </w:p>
    <w:p w14:paraId="3FA0B674" w14:textId="2435E06B" w:rsidR="00E4585B" w:rsidRPr="009D0477" w:rsidRDefault="009E7BEC" w:rsidP="00D216DE">
      <w:pPr>
        <w:pStyle w:val="Lijstalinea"/>
        <w:numPr>
          <w:ilvl w:val="0"/>
          <w:numId w:val="24"/>
        </w:numPr>
        <w:spacing w:line="240" w:lineRule="auto"/>
        <w:contextualSpacing w:val="0"/>
        <w:rPr>
          <w:rFonts w:cs="Segoe UI"/>
          <w:lang w:val="en-US"/>
        </w:rPr>
      </w:pPr>
      <w:r w:rsidRPr="009D0477">
        <w:rPr>
          <w:rFonts w:cs="Segoe UI"/>
          <w:lang w:val="en-US"/>
        </w:rPr>
        <w:t xml:space="preserve">The </w:t>
      </w:r>
      <w:r w:rsidR="00D216DE" w:rsidRPr="009D0477">
        <w:rPr>
          <w:rFonts w:cs="Segoe UI"/>
          <w:lang w:val="en-US"/>
        </w:rPr>
        <w:t>clarification for transparency on Power Mix in the EPD checklist (item 7.5)</w:t>
      </w:r>
      <w:r w:rsidRPr="009D0477">
        <w:rPr>
          <w:rFonts w:cs="Segoe UI"/>
          <w:lang w:val="en-US"/>
        </w:rPr>
        <w:t xml:space="preserve"> is rewritten (its content has not changed)</w:t>
      </w:r>
      <w:r w:rsidR="008C1BBA" w:rsidRPr="009D0477">
        <w:rPr>
          <w:rFonts w:cs="Segoe UI"/>
          <w:lang w:val="en-US"/>
        </w:rPr>
        <w:t>.</w:t>
      </w:r>
    </w:p>
    <w:p w14:paraId="083A437B" w14:textId="00FC960E" w:rsidR="00D216DE" w:rsidRDefault="009E7BEC" w:rsidP="00E74C03">
      <w:pPr>
        <w:pStyle w:val="Lijstalinea"/>
        <w:numPr>
          <w:ilvl w:val="0"/>
          <w:numId w:val="24"/>
        </w:numPr>
        <w:spacing w:line="240" w:lineRule="auto"/>
        <w:contextualSpacing w:val="0"/>
        <w:rPr>
          <w:rFonts w:cs="Segoe UI"/>
          <w:lang w:val="en-US"/>
        </w:rPr>
      </w:pPr>
      <w:r>
        <w:rPr>
          <w:rFonts w:cs="Segoe UI"/>
          <w:lang w:val="en-US"/>
        </w:rPr>
        <w:t>There is an u</w:t>
      </w:r>
      <w:r w:rsidR="0089695F">
        <w:rPr>
          <w:rFonts w:cs="Segoe UI"/>
          <w:lang w:val="en-US"/>
        </w:rPr>
        <w:t>pdate on use of correct JRC EF version of characterization factors in the report checklist (items 1.3 and 13.4)</w:t>
      </w:r>
      <w:r w:rsidR="008C1BBA">
        <w:rPr>
          <w:rFonts w:cs="Segoe UI"/>
          <w:lang w:val="en-US"/>
        </w:rPr>
        <w:t>.</w:t>
      </w:r>
    </w:p>
    <w:p w14:paraId="1E279207" w14:textId="5A823AF4" w:rsidR="003C16DE" w:rsidRPr="003C16DE" w:rsidRDefault="003C16DE" w:rsidP="003C16DE">
      <w:pPr>
        <w:pStyle w:val="Lijstalinea"/>
        <w:numPr>
          <w:ilvl w:val="0"/>
          <w:numId w:val="24"/>
        </w:numPr>
        <w:spacing w:line="240" w:lineRule="auto"/>
        <w:rPr>
          <w:rFonts w:cs="Segoe UI"/>
          <w:lang w:val="en-US"/>
        </w:rPr>
      </w:pPr>
      <w:r>
        <w:rPr>
          <w:rFonts w:cs="Segoe UI"/>
          <w:lang w:val="en-US"/>
        </w:rPr>
        <w:t xml:space="preserve">Small changes </w:t>
      </w:r>
      <w:r w:rsidR="004C61E8">
        <w:rPr>
          <w:rFonts w:cs="Segoe UI"/>
          <w:lang w:val="en-US"/>
        </w:rPr>
        <w:t xml:space="preserve">to the text </w:t>
      </w:r>
      <w:r>
        <w:rPr>
          <w:rFonts w:cs="Segoe UI"/>
          <w:lang w:val="en-US"/>
        </w:rPr>
        <w:t>whenever appropriate</w:t>
      </w:r>
      <w:r w:rsidR="004C61E8">
        <w:rPr>
          <w:rFonts w:cs="Segoe UI"/>
          <w:lang w:val="en-US"/>
        </w:rPr>
        <w:t xml:space="preserve"> (e.g. correction of spelling / style errors)</w:t>
      </w:r>
      <w:r w:rsidR="006813CF">
        <w:rPr>
          <w:rFonts w:cs="Segoe UI"/>
          <w:lang w:val="en-US"/>
        </w:rPr>
        <w:t xml:space="preserve">, </w:t>
      </w:r>
      <w:r w:rsidR="0089695F">
        <w:rPr>
          <w:rFonts w:cs="Segoe UI"/>
          <w:lang w:val="en-US"/>
        </w:rPr>
        <w:t xml:space="preserve">alignment with English version of </w:t>
      </w:r>
      <w:r w:rsidR="008C1BBA">
        <w:rPr>
          <w:rFonts w:cs="Segoe UI"/>
          <w:lang w:val="en-US"/>
        </w:rPr>
        <w:t xml:space="preserve">NMD </w:t>
      </w:r>
      <w:r w:rsidR="0089695F">
        <w:rPr>
          <w:rFonts w:cs="Segoe UI"/>
          <w:lang w:val="en-US"/>
        </w:rPr>
        <w:t xml:space="preserve">review protocol 2.0, </w:t>
      </w:r>
      <w:r w:rsidR="006813CF">
        <w:rPr>
          <w:rFonts w:cs="Segoe UI"/>
          <w:lang w:val="en-US"/>
        </w:rPr>
        <w:t xml:space="preserve">updates in references, alignment with other new MRPI documents. </w:t>
      </w:r>
    </w:p>
    <w:p w14:paraId="67E2C700" w14:textId="77777777" w:rsidR="00E74C03" w:rsidRPr="00E74C03" w:rsidRDefault="00E74C03" w:rsidP="008A7A34">
      <w:pPr>
        <w:rPr>
          <w:lang w:val="en-US"/>
        </w:rPr>
      </w:pPr>
    </w:p>
    <w:sectPr w:rsidR="00E74C03" w:rsidRPr="00E74C03" w:rsidSect="00F9137B">
      <w:footerReference w:type="even" r:id="rId8"/>
      <w:headerReference w:type="first" r:id="rId9"/>
      <w:pgSz w:w="11906" w:h="16838" w:code="9"/>
      <w:pgMar w:top="1985" w:right="1134" w:bottom="1418" w:left="1701" w:header="0" w:footer="567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370C0" w14:textId="77777777" w:rsidR="00E74C03" w:rsidRDefault="00E74C03">
      <w:r>
        <w:separator/>
      </w:r>
    </w:p>
  </w:endnote>
  <w:endnote w:type="continuationSeparator" w:id="0">
    <w:p w14:paraId="474763B7" w14:textId="77777777" w:rsidR="00E74C03" w:rsidRDefault="00E7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etter Gothic MT">
    <w:altName w:val="Monospac821 BT"/>
    <w:charset w:val="00"/>
    <w:family w:val="moder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B2462" w14:textId="77777777" w:rsidR="001A1311" w:rsidRDefault="00804499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1A1311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C7FD125" w14:textId="77777777" w:rsidR="001A1311" w:rsidRDefault="001A1311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76B8C" w14:textId="77777777" w:rsidR="00E74C03" w:rsidRDefault="00E74C03">
      <w:r>
        <w:separator/>
      </w:r>
    </w:p>
  </w:footnote>
  <w:footnote w:type="continuationSeparator" w:id="0">
    <w:p w14:paraId="269497EE" w14:textId="77777777" w:rsidR="00E74C03" w:rsidRDefault="00E74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EE006" w14:textId="77777777" w:rsidR="001A1311" w:rsidRDefault="001A1311">
    <w:pPr>
      <w:pStyle w:val="Koptekst"/>
    </w:pPr>
  </w:p>
  <w:p w14:paraId="29C52C9C" w14:textId="77777777" w:rsidR="001A1311" w:rsidRDefault="001A131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62615"/>
    <w:multiLevelType w:val="multilevel"/>
    <w:tmpl w:val="47D4F798"/>
    <w:lvl w:ilvl="0">
      <w:start w:val="1"/>
      <w:numFmt w:val="decimal"/>
      <w:pStyle w:val="Kop1"/>
      <w:suff w:val="space"/>
      <w:lvlText w:val="%1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284" w:hanging="284"/>
      </w:pPr>
    </w:lvl>
    <w:lvl w:ilvl="2">
      <w:start w:val="1"/>
      <w:numFmt w:val="decimal"/>
      <w:pStyle w:val="Kop3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pStyle w:val="Kop9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 w15:restartNumberingAfterBreak="0">
    <w:nsid w:val="2B3C68D8"/>
    <w:multiLevelType w:val="hybridMultilevel"/>
    <w:tmpl w:val="ED56A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16037"/>
    <w:multiLevelType w:val="multilevel"/>
    <w:tmpl w:val="3020BE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18045AE"/>
    <w:multiLevelType w:val="hybridMultilevel"/>
    <w:tmpl w:val="CA2238E2"/>
    <w:lvl w:ilvl="0" w:tplc="401CE6A8">
      <w:start w:val="1"/>
      <w:numFmt w:val="decimal"/>
      <w:pStyle w:val="Voetnoottekst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E64551"/>
    <w:multiLevelType w:val="hybridMultilevel"/>
    <w:tmpl w:val="88C685B4"/>
    <w:lvl w:ilvl="0" w:tplc="C6E4A560">
      <w:start w:val="1"/>
      <w:numFmt w:val="decimal"/>
      <w:pStyle w:val="Kop5"/>
      <w:lvlText w:val="Bijlage 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6590A"/>
    <w:multiLevelType w:val="multilevel"/>
    <w:tmpl w:val="BAA28C0C"/>
    <w:lvl w:ilvl="0">
      <w:start w:val="1"/>
      <w:numFmt w:val="decimal"/>
      <w:lvlText w:val="%1"/>
      <w:lvlJc w:val="left"/>
      <w:pPr>
        <w:tabs>
          <w:tab w:val="num" w:pos="-2126"/>
        </w:tabs>
        <w:ind w:left="-2126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126"/>
        </w:tabs>
        <w:ind w:left="-2126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2126"/>
        </w:tabs>
        <w:ind w:left="-2126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126"/>
        </w:tabs>
        <w:ind w:left="-2126" w:hanging="709"/>
      </w:pPr>
      <w:rPr>
        <w:rFonts w:hint="default"/>
      </w:rPr>
    </w:lvl>
    <w:lvl w:ilvl="4">
      <w:start w:val="1"/>
      <w:numFmt w:val="upperRoman"/>
      <w:lvlText w:val="Bijlage %5"/>
      <w:lvlJc w:val="left"/>
      <w:pPr>
        <w:tabs>
          <w:tab w:val="num" w:pos="8789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83"/>
        </w:tabs>
        <w:ind w:left="-168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539"/>
        </w:tabs>
        <w:ind w:left="-153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395"/>
        </w:tabs>
        <w:ind w:left="-1395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"/>
      <w:lvlJc w:val="left"/>
      <w:pPr>
        <w:tabs>
          <w:tab w:val="num" w:pos="-675"/>
        </w:tabs>
        <w:ind w:left="-1251" w:hanging="1584"/>
      </w:pPr>
      <w:rPr>
        <w:rFonts w:hint="default"/>
      </w:rPr>
    </w:lvl>
  </w:abstractNum>
  <w:abstractNum w:abstractNumId="6" w15:restartNumberingAfterBreak="0">
    <w:nsid w:val="6FDF0020"/>
    <w:multiLevelType w:val="multilevel"/>
    <w:tmpl w:val="810E8ABE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upperRoman"/>
      <w:lvlText w:val="Bijlage 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lvlRestart w:val="5"/>
      <w:lvlText w:val="%5.%6.%7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lvlText w:val="%5.%6.%7.%8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lvlRestart w:val="0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num w:numId="1" w16cid:durableId="1257009742">
    <w:abstractNumId w:val="2"/>
  </w:num>
  <w:num w:numId="2" w16cid:durableId="1767119714">
    <w:abstractNumId w:val="5"/>
  </w:num>
  <w:num w:numId="3" w16cid:durableId="2115057572">
    <w:abstractNumId w:val="6"/>
  </w:num>
  <w:num w:numId="4" w16cid:durableId="1302268789">
    <w:abstractNumId w:val="5"/>
  </w:num>
  <w:num w:numId="5" w16cid:durableId="1218199947">
    <w:abstractNumId w:val="6"/>
  </w:num>
  <w:num w:numId="6" w16cid:durableId="1287003747">
    <w:abstractNumId w:val="6"/>
  </w:num>
  <w:num w:numId="7" w16cid:durableId="791482846">
    <w:abstractNumId w:val="6"/>
  </w:num>
  <w:num w:numId="8" w16cid:durableId="1930264254">
    <w:abstractNumId w:val="6"/>
  </w:num>
  <w:num w:numId="9" w16cid:durableId="1659112544">
    <w:abstractNumId w:val="6"/>
  </w:num>
  <w:num w:numId="10" w16cid:durableId="770707032">
    <w:abstractNumId w:val="6"/>
  </w:num>
  <w:num w:numId="11" w16cid:durableId="763841512">
    <w:abstractNumId w:val="6"/>
  </w:num>
  <w:num w:numId="12" w16cid:durableId="769663953">
    <w:abstractNumId w:val="5"/>
  </w:num>
  <w:num w:numId="13" w16cid:durableId="1664969792">
    <w:abstractNumId w:val="3"/>
  </w:num>
  <w:num w:numId="14" w16cid:durableId="1183129014">
    <w:abstractNumId w:val="5"/>
  </w:num>
  <w:num w:numId="15" w16cid:durableId="1620641610">
    <w:abstractNumId w:val="5"/>
  </w:num>
  <w:num w:numId="16" w16cid:durableId="1545024046">
    <w:abstractNumId w:val="5"/>
  </w:num>
  <w:num w:numId="17" w16cid:durableId="1138718882">
    <w:abstractNumId w:val="5"/>
  </w:num>
  <w:num w:numId="18" w16cid:durableId="720056693">
    <w:abstractNumId w:val="5"/>
  </w:num>
  <w:num w:numId="19" w16cid:durableId="824204371">
    <w:abstractNumId w:val="5"/>
  </w:num>
  <w:num w:numId="20" w16cid:durableId="1783453910">
    <w:abstractNumId w:val="5"/>
  </w:num>
  <w:num w:numId="21" w16cid:durableId="205026522">
    <w:abstractNumId w:val="0"/>
  </w:num>
  <w:num w:numId="22" w16cid:durableId="1756198847">
    <w:abstractNumId w:val="0"/>
  </w:num>
  <w:num w:numId="23" w16cid:durableId="1023674967">
    <w:abstractNumId w:val="4"/>
  </w:num>
  <w:num w:numId="24" w16cid:durableId="29067403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03"/>
    <w:rsid w:val="00002D02"/>
    <w:rsid w:val="000175E5"/>
    <w:rsid w:val="000262B1"/>
    <w:rsid w:val="0002756B"/>
    <w:rsid w:val="000316C9"/>
    <w:rsid w:val="000316D6"/>
    <w:rsid w:val="000321FF"/>
    <w:rsid w:val="00034F90"/>
    <w:rsid w:val="0004622E"/>
    <w:rsid w:val="00054B8A"/>
    <w:rsid w:val="00055DBC"/>
    <w:rsid w:val="00060157"/>
    <w:rsid w:val="000A7580"/>
    <w:rsid w:val="000B4233"/>
    <w:rsid w:val="000C06BA"/>
    <w:rsid w:val="000C1645"/>
    <w:rsid w:val="000C1B6D"/>
    <w:rsid w:val="000E1CAF"/>
    <w:rsid w:val="000E4EAE"/>
    <w:rsid w:val="000F448C"/>
    <w:rsid w:val="00103FFE"/>
    <w:rsid w:val="0011517E"/>
    <w:rsid w:val="0012697A"/>
    <w:rsid w:val="00137613"/>
    <w:rsid w:val="00140653"/>
    <w:rsid w:val="00145DF0"/>
    <w:rsid w:val="001504AB"/>
    <w:rsid w:val="001563F4"/>
    <w:rsid w:val="0016365C"/>
    <w:rsid w:val="00171D72"/>
    <w:rsid w:val="00182B96"/>
    <w:rsid w:val="001A0D70"/>
    <w:rsid w:val="001A1311"/>
    <w:rsid w:val="001A1F13"/>
    <w:rsid w:val="001A6EBF"/>
    <w:rsid w:val="001B35E1"/>
    <w:rsid w:val="001C2AE9"/>
    <w:rsid w:val="001C42C0"/>
    <w:rsid w:val="001D027D"/>
    <w:rsid w:val="001D0922"/>
    <w:rsid w:val="001D3E2F"/>
    <w:rsid w:val="001E4F97"/>
    <w:rsid w:val="001E62BC"/>
    <w:rsid w:val="001E764C"/>
    <w:rsid w:val="001F35A6"/>
    <w:rsid w:val="002059A6"/>
    <w:rsid w:val="00223F37"/>
    <w:rsid w:val="0023127D"/>
    <w:rsid w:val="00242928"/>
    <w:rsid w:val="00250C7E"/>
    <w:rsid w:val="00276831"/>
    <w:rsid w:val="00283049"/>
    <w:rsid w:val="00283D4C"/>
    <w:rsid w:val="00283E45"/>
    <w:rsid w:val="00294AF0"/>
    <w:rsid w:val="002B104D"/>
    <w:rsid w:val="003018E4"/>
    <w:rsid w:val="003031FB"/>
    <w:rsid w:val="0030494D"/>
    <w:rsid w:val="00313598"/>
    <w:rsid w:val="00315732"/>
    <w:rsid w:val="00320FF6"/>
    <w:rsid w:val="0035009F"/>
    <w:rsid w:val="00352637"/>
    <w:rsid w:val="0036427A"/>
    <w:rsid w:val="0038224B"/>
    <w:rsid w:val="00392B27"/>
    <w:rsid w:val="00393D50"/>
    <w:rsid w:val="003A2A65"/>
    <w:rsid w:val="003B33BB"/>
    <w:rsid w:val="003B6CDA"/>
    <w:rsid w:val="003C16DE"/>
    <w:rsid w:val="003C7CFE"/>
    <w:rsid w:val="003D1A1D"/>
    <w:rsid w:val="003E0C09"/>
    <w:rsid w:val="003F7544"/>
    <w:rsid w:val="0040000B"/>
    <w:rsid w:val="00402D93"/>
    <w:rsid w:val="00405BEC"/>
    <w:rsid w:val="00421AB4"/>
    <w:rsid w:val="00425DA4"/>
    <w:rsid w:val="0043524F"/>
    <w:rsid w:val="00436554"/>
    <w:rsid w:val="004413DB"/>
    <w:rsid w:val="00447746"/>
    <w:rsid w:val="00462F6B"/>
    <w:rsid w:val="004717A8"/>
    <w:rsid w:val="00471FBD"/>
    <w:rsid w:val="00472196"/>
    <w:rsid w:val="00476835"/>
    <w:rsid w:val="00477A43"/>
    <w:rsid w:val="00481110"/>
    <w:rsid w:val="004824E3"/>
    <w:rsid w:val="004854F9"/>
    <w:rsid w:val="00487E81"/>
    <w:rsid w:val="0049326B"/>
    <w:rsid w:val="00494427"/>
    <w:rsid w:val="00497625"/>
    <w:rsid w:val="004A0DD7"/>
    <w:rsid w:val="004B2944"/>
    <w:rsid w:val="004C3201"/>
    <w:rsid w:val="004C61E8"/>
    <w:rsid w:val="004C6723"/>
    <w:rsid w:val="004D19CD"/>
    <w:rsid w:val="004E597B"/>
    <w:rsid w:val="004E5CFE"/>
    <w:rsid w:val="004F00E2"/>
    <w:rsid w:val="004F2CBB"/>
    <w:rsid w:val="00505EFA"/>
    <w:rsid w:val="0050661A"/>
    <w:rsid w:val="00507503"/>
    <w:rsid w:val="00512DA5"/>
    <w:rsid w:val="00516600"/>
    <w:rsid w:val="00517058"/>
    <w:rsid w:val="00521FA7"/>
    <w:rsid w:val="005276C9"/>
    <w:rsid w:val="0054570E"/>
    <w:rsid w:val="00570210"/>
    <w:rsid w:val="00576492"/>
    <w:rsid w:val="0058252E"/>
    <w:rsid w:val="005904A4"/>
    <w:rsid w:val="0059460F"/>
    <w:rsid w:val="005C37F8"/>
    <w:rsid w:val="005C3923"/>
    <w:rsid w:val="005E4776"/>
    <w:rsid w:val="005F4430"/>
    <w:rsid w:val="005F7009"/>
    <w:rsid w:val="00612D6D"/>
    <w:rsid w:val="0061488C"/>
    <w:rsid w:val="00615E0B"/>
    <w:rsid w:val="006207A4"/>
    <w:rsid w:val="0062617C"/>
    <w:rsid w:val="006321E7"/>
    <w:rsid w:val="00635E27"/>
    <w:rsid w:val="0064299A"/>
    <w:rsid w:val="00644A58"/>
    <w:rsid w:val="006563F2"/>
    <w:rsid w:val="00656524"/>
    <w:rsid w:val="00663C07"/>
    <w:rsid w:val="00675A5B"/>
    <w:rsid w:val="00677909"/>
    <w:rsid w:val="0068059F"/>
    <w:rsid w:val="006805C1"/>
    <w:rsid w:val="006813CF"/>
    <w:rsid w:val="00691ADD"/>
    <w:rsid w:val="00693089"/>
    <w:rsid w:val="006B544F"/>
    <w:rsid w:val="006C0A53"/>
    <w:rsid w:val="00700BFC"/>
    <w:rsid w:val="007121AB"/>
    <w:rsid w:val="00720E4D"/>
    <w:rsid w:val="007410B9"/>
    <w:rsid w:val="00750F5A"/>
    <w:rsid w:val="0075213C"/>
    <w:rsid w:val="007554D1"/>
    <w:rsid w:val="00766339"/>
    <w:rsid w:val="007818A7"/>
    <w:rsid w:val="007A4B89"/>
    <w:rsid w:val="007B078F"/>
    <w:rsid w:val="007B3FCB"/>
    <w:rsid w:val="007B5510"/>
    <w:rsid w:val="007B7AFB"/>
    <w:rsid w:val="007C218B"/>
    <w:rsid w:val="007D01D1"/>
    <w:rsid w:val="007E190B"/>
    <w:rsid w:val="007E1B57"/>
    <w:rsid w:val="007F39C6"/>
    <w:rsid w:val="00800874"/>
    <w:rsid w:val="00801122"/>
    <w:rsid w:val="00804499"/>
    <w:rsid w:val="00822AB3"/>
    <w:rsid w:val="00832525"/>
    <w:rsid w:val="008342B9"/>
    <w:rsid w:val="008345F3"/>
    <w:rsid w:val="00853BC5"/>
    <w:rsid w:val="00860AEE"/>
    <w:rsid w:val="00862019"/>
    <w:rsid w:val="00882658"/>
    <w:rsid w:val="00887C0E"/>
    <w:rsid w:val="008956E3"/>
    <w:rsid w:val="0089695F"/>
    <w:rsid w:val="008A0C25"/>
    <w:rsid w:val="008A3137"/>
    <w:rsid w:val="008A7A34"/>
    <w:rsid w:val="008C1BBA"/>
    <w:rsid w:val="008C23E9"/>
    <w:rsid w:val="008D2792"/>
    <w:rsid w:val="008E4713"/>
    <w:rsid w:val="00901FF9"/>
    <w:rsid w:val="00905880"/>
    <w:rsid w:val="0091219D"/>
    <w:rsid w:val="00935EB3"/>
    <w:rsid w:val="009405D7"/>
    <w:rsid w:val="009429E3"/>
    <w:rsid w:val="009724E6"/>
    <w:rsid w:val="00973767"/>
    <w:rsid w:val="00976034"/>
    <w:rsid w:val="0097651F"/>
    <w:rsid w:val="00993ED6"/>
    <w:rsid w:val="009A6C29"/>
    <w:rsid w:val="009B12A4"/>
    <w:rsid w:val="009C34C7"/>
    <w:rsid w:val="009C7D8A"/>
    <w:rsid w:val="009D0094"/>
    <w:rsid w:val="009D0477"/>
    <w:rsid w:val="009D2EE2"/>
    <w:rsid w:val="009D5D3D"/>
    <w:rsid w:val="009E4727"/>
    <w:rsid w:val="009E7BEC"/>
    <w:rsid w:val="009F424C"/>
    <w:rsid w:val="009F53CA"/>
    <w:rsid w:val="009F7F32"/>
    <w:rsid w:val="00A165F1"/>
    <w:rsid w:val="00A262A6"/>
    <w:rsid w:val="00A27C76"/>
    <w:rsid w:val="00A336A6"/>
    <w:rsid w:val="00A50E1C"/>
    <w:rsid w:val="00A62E4A"/>
    <w:rsid w:val="00A73EE1"/>
    <w:rsid w:val="00A80D66"/>
    <w:rsid w:val="00A830A3"/>
    <w:rsid w:val="00A86EE7"/>
    <w:rsid w:val="00AD4C4D"/>
    <w:rsid w:val="00AD7A2E"/>
    <w:rsid w:val="00AE5614"/>
    <w:rsid w:val="00AF1D43"/>
    <w:rsid w:val="00AF3658"/>
    <w:rsid w:val="00B039E6"/>
    <w:rsid w:val="00B06FCE"/>
    <w:rsid w:val="00B13702"/>
    <w:rsid w:val="00B1427C"/>
    <w:rsid w:val="00B15C29"/>
    <w:rsid w:val="00B26F0F"/>
    <w:rsid w:val="00B40C71"/>
    <w:rsid w:val="00B4715C"/>
    <w:rsid w:val="00B47644"/>
    <w:rsid w:val="00B5261F"/>
    <w:rsid w:val="00B54D45"/>
    <w:rsid w:val="00B565D0"/>
    <w:rsid w:val="00B62805"/>
    <w:rsid w:val="00B73DDA"/>
    <w:rsid w:val="00B818A6"/>
    <w:rsid w:val="00B827BF"/>
    <w:rsid w:val="00B974CC"/>
    <w:rsid w:val="00B97E7D"/>
    <w:rsid w:val="00BA463A"/>
    <w:rsid w:val="00BA526E"/>
    <w:rsid w:val="00BA6488"/>
    <w:rsid w:val="00BA6A98"/>
    <w:rsid w:val="00BF6384"/>
    <w:rsid w:val="00BF63B6"/>
    <w:rsid w:val="00BF76CB"/>
    <w:rsid w:val="00C012A6"/>
    <w:rsid w:val="00C05BFD"/>
    <w:rsid w:val="00C15291"/>
    <w:rsid w:val="00C161BD"/>
    <w:rsid w:val="00C17150"/>
    <w:rsid w:val="00C235A2"/>
    <w:rsid w:val="00C32D16"/>
    <w:rsid w:val="00C36B34"/>
    <w:rsid w:val="00C36DDE"/>
    <w:rsid w:val="00C5069C"/>
    <w:rsid w:val="00C508C9"/>
    <w:rsid w:val="00C63687"/>
    <w:rsid w:val="00C67947"/>
    <w:rsid w:val="00CA4C72"/>
    <w:rsid w:val="00CA6C65"/>
    <w:rsid w:val="00CC601E"/>
    <w:rsid w:val="00CE035E"/>
    <w:rsid w:val="00CE1A7C"/>
    <w:rsid w:val="00D01952"/>
    <w:rsid w:val="00D023D5"/>
    <w:rsid w:val="00D03EC4"/>
    <w:rsid w:val="00D04DD4"/>
    <w:rsid w:val="00D0680C"/>
    <w:rsid w:val="00D06E1A"/>
    <w:rsid w:val="00D06FA2"/>
    <w:rsid w:val="00D07938"/>
    <w:rsid w:val="00D216DE"/>
    <w:rsid w:val="00D55006"/>
    <w:rsid w:val="00D56CA7"/>
    <w:rsid w:val="00D570CE"/>
    <w:rsid w:val="00D6259F"/>
    <w:rsid w:val="00D67B16"/>
    <w:rsid w:val="00D762ED"/>
    <w:rsid w:val="00D95C96"/>
    <w:rsid w:val="00D97D9C"/>
    <w:rsid w:val="00DB3FE8"/>
    <w:rsid w:val="00DD26EA"/>
    <w:rsid w:val="00DD41F5"/>
    <w:rsid w:val="00DD7CC7"/>
    <w:rsid w:val="00DE131E"/>
    <w:rsid w:val="00DE3B1C"/>
    <w:rsid w:val="00DF5D3E"/>
    <w:rsid w:val="00DF762F"/>
    <w:rsid w:val="00E00518"/>
    <w:rsid w:val="00E25083"/>
    <w:rsid w:val="00E31195"/>
    <w:rsid w:val="00E4041D"/>
    <w:rsid w:val="00E42E4C"/>
    <w:rsid w:val="00E4585B"/>
    <w:rsid w:val="00E71E3D"/>
    <w:rsid w:val="00E74C03"/>
    <w:rsid w:val="00E74CD8"/>
    <w:rsid w:val="00E83859"/>
    <w:rsid w:val="00E9165D"/>
    <w:rsid w:val="00EA042F"/>
    <w:rsid w:val="00EA3BE8"/>
    <w:rsid w:val="00EB00A6"/>
    <w:rsid w:val="00EB4E31"/>
    <w:rsid w:val="00ED448B"/>
    <w:rsid w:val="00ED473F"/>
    <w:rsid w:val="00EE6BE3"/>
    <w:rsid w:val="00EF75C6"/>
    <w:rsid w:val="00F073C0"/>
    <w:rsid w:val="00F120BE"/>
    <w:rsid w:val="00F217CF"/>
    <w:rsid w:val="00F226C2"/>
    <w:rsid w:val="00F35622"/>
    <w:rsid w:val="00F363FC"/>
    <w:rsid w:val="00F61A43"/>
    <w:rsid w:val="00F6271E"/>
    <w:rsid w:val="00F85D8E"/>
    <w:rsid w:val="00F87DB4"/>
    <w:rsid w:val="00F9137B"/>
    <w:rsid w:val="00FA07E2"/>
    <w:rsid w:val="00FB1E28"/>
    <w:rsid w:val="00FC7C01"/>
    <w:rsid w:val="00FD2092"/>
    <w:rsid w:val="00FD3FCD"/>
    <w:rsid w:val="00FD508A"/>
    <w:rsid w:val="00FE0D5F"/>
    <w:rsid w:val="00FF00F8"/>
    <w:rsid w:val="00F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D2CBC5"/>
  <w15:chartTrackingRefBased/>
  <w15:docId w15:val="{6C8333F8-407F-47D9-B9D8-BCC4B6C6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Arial"/>
        <w:color w:val="262626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15E0B"/>
    <w:pPr>
      <w:spacing w:line="288" w:lineRule="auto"/>
    </w:pPr>
  </w:style>
  <w:style w:type="paragraph" w:styleId="Kop1">
    <w:name w:val="heading 1"/>
    <w:basedOn w:val="Standaard"/>
    <w:next w:val="Standaard"/>
    <w:autoRedefine/>
    <w:qFormat/>
    <w:rsid w:val="00853BC5"/>
    <w:pPr>
      <w:keepNext/>
      <w:pageBreakBefore/>
      <w:numPr>
        <w:numId w:val="22"/>
      </w:numPr>
      <w:spacing w:before="240" w:after="480"/>
      <w:outlineLvl w:val="0"/>
    </w:pPr>
    <w:rPr>
      <w:b/>
      <w:kern w:val="28"/>
      <w:sz w:val="26"/>
    </w:rPr>
  </w:style>
  <w:style w:type="paragraph" w:styleId="Kop2">
    <w:name w:val="heading 2"/>
    <w:basedOn w:val="Standaard"/>
    <w:next w:val="Standaard"/>
    <w:autoRedefine/>
    <w:qFormat/>
    <w:rsid w:val="00853BC5"/>
    <w:pPr>
      <w:keepNext/>
      <w:spacing w:before="240" w:after="60"/>
      <w:outlineLvl w:val="1"/>
    </w:pPr>
    <w:rPr>
      <w:b/>
      <w:sz w:val="22"/>
    </w:rPr>
  </w:style>
  <w:style w:type="paragraph" w:styleId="Kop3">
    <w:name w:val="heading 3"/>
    <w:basedOn w:val="Standaard"/>
    <w:next w:val="Standaard"/>
    <w:autoRedefine/>
    <w:qFormat/>
    <w:rsid w:val="00853BC5"/>
    <w:pPr>
      <w:keepNext/>
      <w:numPr>
        <w:ilvl w:val="2"/>
        <w:numId w:val="22"/>
      </w:numPr>
      <w:spacing w:before="600"/>
      <w:outlineLvl w:val="2"/>
    </w:pPr>
    <w:rPr>
      <w:b/>
    </w:rPr>
  </w:style>
  <w:style w:type="paragraph" w:styleId="Kop4">
    <w:name w:val="heading 4"/>
    <w:basedOn w:val="Standaard"/>
    <w:next w:val="Standaard"/>
    <w:autoRedefine/>
    <w:qFormat/>
    <w:rsid w:val="00853BC5"/>
    <w:pPr>
      <w:keepNext/>
      <w:spacing w:before="240" w:after="60"/>
      <w:outlineLvl w:val="3"/>
    </w:pPr>
    <w:rPr>
      <w:i/>
    </w:rPr>
  </w:style>
  <w:style w:type="paragraph" w:styleId="Kop5">
    <w:name w:val="heading 5"/>
    <w:basedOn w:val="Standaard"/>
    <w:next w:val="Standaard"/>
    <w:autoRedefine/>
    <w:qFormat/>
    <w:rsid w:val="00A336A6"/>
    <w:pPr>
      <w:numPr>
        <w:numId w:val="23"/>
      </w:numPr>
      <w:tabs>
        <w:tab w:val="left" w:pos="8789"/>
      </w:tabs>
      <w:ind w:left="0" w:firstLine="0"/>
      <w:outlineLvl w:val="4"/>
    </w:pPr>
    <w:rPr>
      <w:b/>
      <w:bCs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6321E7"/>
    <w:pPr>
      <w:numPr>
        <w:ilvl w:val="5"/>
        <w:numId w:val="22"/>
      </w:numPr>
      <w:spacing w:after="240"/>
      <w:outlineLvl w:val="5"/>
    </w:pPr>
    <w:rPr>
      <w:b/>
      <w:sz w:val="22"/>
    </w:rPr>
  </w:style>
  <w:style w:type="paragraph" w:styleId="Kop7">
    <w:name w:val="heading 7"/>
    <w:basedOn w:val="Standaard"/>
    <w:next w:val="Standaard"/>
    <w:qFormat/>
    <w:rsid w:val="006321E7"/>
    <w:pPr>
      <w:numPr>
        <w:ilvl w:val="6"/>
        <w:numId w:val="22"/>
      </w:numPr>
      <w:outlineLvl w:val="6"/>
    </w:pPr>
    <w:rPr>
      <w:b/>
    </w:rPr>
  </w:style>
  <w:style w:type="paragraph" w:styleId="Kop8">
    <w:name w:val="heading 8"/>
    <w:basedOn w:val="Standaard"/>
    <w:next w:val="Standaard"/>
    <w:qFormat/>
    <w:rsid w:val="006321E7"/>
    <w:pPr>
      <w:numPr>
        <w:ilvl w:val="7"/>
        <w:numId w:val="22"/>
      </w:numPr>
      <w:outlineLvl w:val="7"/>
    </w:pPr>
  </w:style>
  <w:style w:type="paragraph" w:styleId="Kop9">
    <w:name w:val="heading 9"/>
    <w:basedOn w:val="Standaard"/>
    <w:next w:val="Standaard"/>
    <w:qFormat/>
    <w:rsid w:val="00B4715C"/>
    <w:pPr>
      <w:numPr>
        <w:ilvl w:val="8"/>
        <w:numId w:val="22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6321E7"/>
    <w:rPr>
      <w:b/>
      <w:bCs/>
    </w:rPr>
  </w:style>
  <w:style w:type="paragraph" w:styleId="Kopbronvermelding">
    <w:name w:val="toa heading"/>
    <w:basedOn w:val="Standaard"/>
    <w:next w:val="Standaard"/>
    <w:semiHidden/>
    <w:rsid w:val="00B4715C"/>
    <w:pPr>
      <w:spacing w:before="120"/>
    </w:pPr>
    <w:rPr>
      <w:b/>
    </w:rPr>
  </w:style>
  <w:style w:type="paragraph" w:styleId="Voetnoottekst">
    <w:name w:val="footnote text"/>
    <w:basedOn w:val="Standaard"/>
    <w:autoRedefine/>
    <w:semiHidden/>
    <w:rsid w:val="00425DA4"/>
    <w:pPr>
      <w:numPr>
        <w:numId w:val="13"/>
      </w:numPr>
    </w:pPr>
    <w:rPr>
      <w:sz w:val="16"/>
    </w:rPr>
  </w:style>
  <w:style w:type="character" w:styleId="Voetnootmarkering">
    <w:name w:val="footnote reference"/>
    <w:basedOn w:val="Standaardalinea-lettertype"/>
    <w:semiHidden/>
    <w:rsid w:val="00B4715C"/>
    <w:rPr>
      <w:rFonts w:ascii="Univers" w:hAnsi="Univers"/>
      <w:vertAlign w:val="superscript"/>
    </w:rPr>
  </w:style>
  <w:style w:type="paragraph" w:styleId="Koptekst">
    <w:name w:val="header"/>
    <w:basedOn w:val="Standaard"/>
    <w:rsid w:val="00B4715C"/>
    <w:pPr>
      <w:tabs>
        <w:tab w:val="center" w:pos="4536"/>
        <w:tab w:val="right" w:pos="9072"/>
      </w:tabs>
      <w:spacing w:line="240" w:lineRule="auto"/>
    </w:pPr>
  </w:style>
  <w:style w:type="paragraph" w:styleId="Voettekst">
    <w:name w:val="footer"/>
    <w:basedOn w:val="Standaard"/>
    <w:autoRedefine/>
    <w:rsid w:val="00800874"/>
    <w:pPr>
      <w:tabs>
        <w:tab w:val="right" w:pos="9185"/>
      </w:tabs>
    </w:pPr>
    <w:rPr>
      <w:sz w:val="16"/>
    </w:rPr>
  </w:style>
  <w:style w:type="character" w:styleId="Paginanummer">
    <w:name w:val="page number"/>
    <w:basedOn w:val="Standaardalinea-lettertype"/>
    <w:rsid w:val="00B4715C"/>
    <w:rPr>
      <w:rFonts w:ascii="Arial" w:hAnsi="Arial"/>
      <w:sz w:val="14"/>
    </w:rPr>
  </w:style>
  <w:style w:type="table" w:customStyle="1" w:styleId="LBP">
    <w:name w:val="LBP"/>
    <w:basedOn w:val="Standaardtabel"/>
    <w:rsid w:val="0004622E"/>
    <w:pPr>
      <w:jc w:val="center"/>
    </w:pPr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tcBorders>
          <w:bottom w:val="double" w:sz="4" w:space="0" w:color="auto"/>
        </w:tcBorders>
      </w:tcPr>
    </w:tblStylePr>
    <w:tblStylePr w:type="firstCol">
      <w:pPr>
        <w:jc w:val="left"/>
      </w:pPr>
      <w:rPr>
        <w:rFonts w:ascii="Arial" w:hAnsi="Arial"/>
      </w:rPr>
      <w:tblPr/>
      <w:tcPr>
        <w:tcBorders>
          <w:right w:val="double" w:sz="4" w:space="0" w:color="auto"/>
        </w:tcBorders>
      </w:tcPr>
    </w:tblStylePr>
  </w:style>
  <w:style w:type="paragraph" w:customStyle="1" w:styleId="TabelIL">
    <w:name w:val="Tabel IL"/>
    <w:basedOn w:val="Standaard"/>
    <w:rsid w:val="00B4715C"/>
    <w:rPr>
      <w:rFonts w:ascii="Letter Gothic MT" w:hAnsi="Letter Gothic MT"/>
      <w:spacing w:val="-16"/>
      <w:sz w:val="13"/>
    </w:rPr>
  </w:style>
  <w:style w:type="paragraph" w:styleId="Inhopg2">
    <w:name w:val="toc 2"/>
    <w:basedOn w:val="Standaard"/>
    <w:next w:val="Standaard"/>
    <w:autoRedefine/>
    <w:semiHidden/>
    <w:rsid w:val="00B4715C"/>
    <w:pPr>
      <w:ind w:left="170"/>
    </w:pPr>
    <w:rPr>
      <w:noProof/>
    </w:rPr>
  </w:style>
  <w:style w:type="character" w:styleId="Verwijzingopmerking">
    <w:name w:val="annotation reference"/>
    <w:basedOn w:val="Standaardalinea-lettertype"/>
    <w:semiHidden/>
    <w:rsid w:val="00B4715C"/>
    <w:rPr>
      <w:rFonts w:ascii="Univers" w:hAnsi="Univers"/>
      <w:sz w:val="16"/>
    </w:rPr>
  </w:style>
  <w:style w:type="paragraph" w:styleId="Titel">
    <w:name w:val="Title"/>
    <w:basedOn w:val="Standaard"/>
    <w:next w:val="Ondertitel"/>
    <w:link w:val="TitelChar"/>
    <w:qFormat/>
    <w:rsid w:val="00283D4C"/>
    <w:pPr>
      <w:ind w:left="2835"/>
    </w:pPr>
    <w:rPr>
      <w:b/>
      <w:bCs/>
      <w:sz w:val="26"/>
      <w:szCs w:val="32"/>
    </w:rPr>
  </w:style>
  <w:style w:type="paragraph" w:styleId="Ondertitel">
    <w:name w:val="Subtitle"/>
    <w:basedOn w:val="Standaard"/>
    <w:next w:val="Standaard"/>
    <w:qFormat/>
    <w:rsid w:val="00283D4C"/>
    <w:pPr>
      <w:ind w:left="2835"/>
    </w:pPr>
    <w:rPr>
      <w:b/>
      <w:color w:val="808080"/>
      <w:sz w:val="22"/>
    </w:rPr>
  </w:style>
  <w:style w:type="paragraph" w:styleId="Documentstructuur">
    <w:name w:val="Document Map"/>
    <w:basedOn w:val="Standaard"/>
    <w:semiHidden/>
    <w:rsid w:val="00B4715C"/>
    <w:pPr>
      <w:shd w:val="clear" w:color="auto" w:fill="000080"/>
    </w:pPr>
    <w:rPr>
      <w:rFonts w:ascii="Tahoma" w:hAnsi="Tahoma"/>
    </w:rPr>
  </w:style>
  <w:style w:type="table" w:customStyle="1" w:styleId="lbp0">
    <w:name w:val="lbp"/>
    <w:basedOn w:val="Standaardtabel"/>
    <w:rsid w:val="00A830A3"/>
    <w:pPr>
      <w:jc w:val="center"/>
    </w:pPr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tcBorders>
          <w:bottom w:val="double" w:sz="4" w:space="0" w:color="auto"/>
        </w:tcBorders>
      </w:tcPr>
    </w:tblStylePr>
    <w:tblStylePr w:type="firstCol">
      <w:pPr>
        <w:jc w:val="left"/>
      </w:pPr>
      <w:tblPr/>
      <w:tcPr>
        <w:tcBorders>
          <w:right w:val="double" w:sz="4" w:space="0" w:color="auto"/>
        </w:tcBorders>
      </w:tcPr>
    </w:tblStylePr>
  </w:style>
  <w:style w:type="paragraph" w:styleId="Inhopg4">
    <w:name w:val="toc 4"/>
    <w:basedOn w:val="Standaard"/>
    <w:next w:val="Standaard"/>
    <w:autoRedefine/>
    <w:semiHidden/>
    <w:rsid w:val="00A262A6"/>
    <w:pPr>
      <w:tabs>
        <w:tab w:val="left" w:pos="992"/>
      </w:tabs>
    </w:pPr>
  </w:style>
  <w:style w:type="paragraph" w:styleId="Inhopg1">
    <w:name w:val="toc 1"/>
    <w:basedOn w:val="Standaard"/>
    <w:next w:val="Standaard"/>
    <w:autoRedefine/>
    <w:semiHidden/>
    <w:rsid w:val="00B4715C"/>
    <w:pPr>
      <w:spacing w:before="120" w:after="120"/>
    </w:pPr>
    <w:rPr>
      <w:b/>
      <w:noProof/>
    </w:rPr>
  </w:style>
  <w:style w:type="paragraph" w:styleId="Inhopg3">
    <w:name w:val="toc 3"/>
    <w:basedOn w:val="Standaard"/>
    <w:next w:val="Standaard"/>
    <w:autoRedefine/>
    <w:semiHidden/>
    <w:rsid w:val="00B4715C"/>
    <w:pPr>
      <w:ind w:left="510"/>
    </w:pPr>
    <w:rPr>
      <w:noProof/>
    </w:rPr>
  </w:style>
  <w:style w:type="paragraph" w:customStyle="1" w:styleId="TabelCelKolom1">
    <w:name w:val="TabelCelKolom1"/>
    <w:basedOn w:val="Standaard"/>
    <w:autoRedefine/>
    <w:rsid w:val="001F35A6"/>
    <w:pPr>
      <w:ind w:left="181"/>
    </w:pPr>
    <w:rPr>
      <w:sz w:val="16"/>
    </w:rPr>
  </w:style>
  <w:style w:type="paragraph" w:customStyle="1" w:styleId="TabelCelKolom2">
    <w:name w:val="TabelCelKolom2"/>
    <w:basedOn w:val="Standaard"/>
    <w:autoRedefine/>
    <w:rsid w:val="001F35A6"/>
    <w:pPr>
      <w:ind w:left="181"/>
      <w:jc w:val="center"/>
    </w:pPr>
    <w:rPr>
      <w:sz w:val="16"/>
    </w:rPr>
  </w:style>
  <w:style w:type="paragraph" w:customStyle="1" w:styleId="inhoudsopgave5">
    <w:name w:val="inhoudsopgave5"/>
    <w:basedOn w:val="Standaard"/>
    <w:next w:val="Standaard"/>
    <w:autoRedefine/>
    <w:rsid w:val="001F35A6"/>
    <w:pPr>
      <w:tabs>
        <w:tab w:val="right" w:pos="1701"/>
      </w:tabs>
    </w:pPr>
  </w:style>
  <w:style w:type="character" w:customStyle="1" w:styleId="grijsgrootvet">
    <w:name w:val="grijsgrootvet"/>
    <w:basedOn w:val="Standaardalinea-lettertype"/>
    <w:rsid w:val="006321E7"/>
    <w:rPr>
      <w:color w:val="808080"/>
      <w:sz w:val="22"/>
    </w:rPr>
  </w:style>
  <w:style w:type="paragraph" w:customStyle="1" w:styleId="Voorbladgrijs">
    <w:name w:val="Voorbladgrijs"/>
    <w:basedOn w:val="Voorblad"/>
    <w:next w:val="Voorblad"/>
    <w:rsid w:val="00283D4C"/>
    <w:rPr>
      <w:color w:val="808080"/>
    </w:rPr>
  </w:style>
  <w:style w:type="paragraph" w:customStyle="1" w:styleId="Voorblad">
    <w:name w:val="Voorblad"/>
    <w:basedOn w:val="Standaard"/>
    <w:rsid w:val="00283D4C"/>
    <w:pPr>
      <w:ind w:left="2835"/>
    </w:pPr>
  </w:style>
  <w:style w:type="paragraph" w:customStyle="1" w:styleId="Inhoud">
    <w:name w:val="Inhoud"/>
    <w:basedOn w:val="Standaard"/>
    <w:next w:val="Standaard"/>
    <w:autoRedefine/>
    <w:rsid w:val="00D01952"/>
    <w:pPr>
      <w:spacing w:before="240" w:after="240"/>
    </w:pPr>
    <w:rPr>
      <w:b/>
      <w:sz w:val="26"/>
    </w:rPr>
  </w:style>
  <w:style w:type="paragraph" w:styleId="Citaat">
    <w:name w:val="Quote"/>
    <w:basedOn w:val="Standaard"/>
    <w:next w:val="Standaard"/>
    <w:link w:val="CitaatChar"/>
    <w:uiPriority w:val="29"/>
    <w:qFormat/>
    <w:rsid w:val="00E74C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74C0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74C0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74C03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74C0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74C03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74C03"/>
    <w:rPr>
      <w:b/>
      <w:bCs/>
      <w:smallCaps/>
      <w:color w:val="365F91" w:themeColor="accent1" w:themeShade="BF"/>
      <w:spacing w:val="5"/>
    </w:rPr>
  </w:style>
  <w:style w:type="character" w:customStyle="1" w:styleId="TitelChar">
    <w:name w:val="Titel Char"/>
    <w:basedOn w:val="Standaardalinea-lettertype"/>
    <w:link w:val="Titel"/>
    <w:rsid w:val="00E74C03"/>
    <w:rPr>
      <w:b/>
      <w:bCs/>
      <w:sz w:val="26"/>
      <w:szCs w:val="32"/>
    </w:rPr>
  </w:style>
  <w:style w:type="character" w:styleId="Hyperlink">
    <w:name w:val="Hyperlink"/>
    <w:basedOn w:val="Standaardalinea-lettertype"/>
    <w:unhideWhenUsed/>
    <w:rsid w:val="000B423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B4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ilieudatabase.nl/nl/actueel/nieuws/nieuwe-versie-toetsingsprotocol-20-van-kracht-per-1-juli-202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365</Words>
  <Characters>2070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Hilko van der Leij</dc:creator>
  <cp:keywords/>
  <dc:description/>
  <cp:lastModifiedBy>Hilko van der Leij</cp:lastModifiedBy>
  <cp:revision>14</cp:revision>
  <dcterms:created xsi:type="dcterms:W3CDTF">2026-03-30T11:29:00Z</dcterms:created>
  <dcterms:modified xsi:type="dcterms:W3CDTF">2026-04-17T08:41:00Z</dcterms:modified>
</cp:coreProperties>
</file>